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162</w:t>
      </w:r>
    </w:p>
    <w:p>
      <w:r>
        <w:t>Bundesgericht (BGE), 2005-01-28, DE</w:t>
      </w:r>
    </w:p>
    <w:p>
      <w:r>
        <w:rPr>
          <w:b/>
        </w:rPr>
        <w:t xml:space="preserve">Quelle: </w:t>
      </w:r>
      <w:r>
        <w:t>https://mcp.opencaselaw.ch/entscheid/bge_131 II 162</w:t>
      </w:r>
    </w:p>
    <w:p>
      <w:r>
        <w:t>FR: ATF 131 II 162</w:t>
      </w:r>
    </w:p>
    <w:p>
      <w:r>
        <w:t>IT: DTF 131 II 162</w:t>
      </w:r>
    </w:p>
    <w:p>
      <w:pPr>
        <w:pStyle w:val="Heading2"/>
      </w:pPr>
      <w:r>
        <w:t>Regeste</w:t>
      </w:r>
    </w:p>
    <w:p>
      <w:r>
        <w:t>Regeste Registrierung von Internationalized Domain Names (IDN); Art. 28 FMG und Art. 14a ff. AEFV. Zuteilung von Domain-Namen: Rechtsnatur des Verhältnisses zwischen Registerbetreiber und Internet-Benutzer; Übertragung der Domain-Namen durch Verfügung oder durch privatrechtlichen Vertrag (E. 2)?</w:t>
      </w:r>
    </w:p>
    <w:p>
      <w:pPr>
        <w:pStyle w:val="Heading2"/>
      </w:pPr>
      <w:r>
        <w:t>Erwägungen</w:t>
      </w:r>
    </w:p>
    <w:p>
      <w:r>
        <w:rPr>
          <w:b/>
        </w:rPr>
        <w:t>E. 2</w:t>
      </w:r>
    </w:p>
    <w:p>
      <w:r>
        <w:t>Das Fernmeldegesetz (FMG) regelt in den Art. 28 bis 30 die Adressierungselemente. Deren Verwaltung und Zuteilung ist in Art. 28 FMG geregelt. Nach Absatz 1 dieser Bestimmung verwaltet das Bundesamt die Adressierungselemente unter Beachtung der internationalen Normen. Gemäss Absatz 2 kann das Bundesamt die Verwaltung und Zuteilung bestimmter Adressierungselemente Dritten übertragen. Der Bundesrat regelt die Einzelheiten, namentlich die Aufsicht durch das Bundesamt. Zu den Adressierungselementen gehören insbesondere die Internet Domain-Namen (FISCHER/SIDLER, in: Weber [Hrsg.], Schweizerisches Bundesverwaltungsrecht, Bd. V/1, 2. Aufl. 2003, Informations- und Kommunikationsrecht, S. 216). In der Verordnung über die Adressierungselemente im Fernmeldebereich (AEFV) hat der Bundesrat in Art. 14 bis 14i die der Domain "ch" untergeordneten Domain-Namen geregelt (vgl. AS 2002 S. 273).</w:t>
      </w:r>
    </w:p>
    <w:p>
      <w:r>
        <w:rPr>
          <w:b/>
        </w:rPr>
        <w:t>E. 2.1</w:t>
      </w:r>
    </w:p>
    <w:p>
      <w:r>
        <w:t>Nach Art. 14a AEFV bezeichnet das Bundesamt die Registerbetreiberin und schliesst mit ihr einen verwaltungsrechtlichen Vertrag ab. Die Aufgaben und Pflichten der Betreiberin werden in Art. 14a Abs. 2 und 14b AEFV aufgeführt. Nach Art. 14b Abs. 3 AEFV ist die Registerbetreiberin vorbehaltlich der Fälle von Nichtzahlung oder zweifelhafter Zahlungsfähigkeit verpflichtet, BGE 131 II 162 S. 165 ihre Dienste allen Nutzerinnen und Nutzern des Internets anzubieten. Nach Art. 14b Abs. 5 AEFV unterstellt die Betreiberin (vorbehaltlich abweichender Bestimmungen des IPRG und des LugÜ) Streitigkeiten im Zusammenhang mit der ihr übertragenen Verwaltung und Zuteilung der Domain-Namen schweizerischem Recht und der schweizerischen Gerichtsbarkeit. Nach Art. 14c Abs. 1 AEFV legt sie die allgemeinen Geschäftsbedingungen ihres Diensteangebots fest und unterbreitet sie dem Bundesamt zur Genehmigung. Sie setzt gemäss Art. 14c Abs. 2 AEFV die Preise für ihre Dienste auf Grund der entstandenen Kosten sowie der Notwendigkeit einen angemessenen Gewinn zu erzielen fest und unterbreitet die Preise dem Bundesamt zur Genehmigung. Nach Art. 14d AEFV schliesst die Registerbetreiberin mit der Dachorganisation für die Verwaltung der Domain-Namen auf internationaler Ebene einen Vertrag ab, der vor Unterzeichnung vom Bundesamt zu genehmigen ist. Gemäss Art. 14f AEFV teilt die Registerbetreiberin die Domain-Namen auf Gesuch und nach der Reihenfolge der Gesuchseingänge zu (Abs. 1); sie überprüft nicht, ob eine Gesuchstellerin berechtigt ist, die alphanumerischen Bezeichnungen des verlangten Domain-Namens zu verwenden, wobei Streitigkeiten über die privaten Rechte Dritter an einer solchen Bezeichnung sich nach den zivilrechtlichen Bestimmungen richten (Abs. 2). Die Registerbetreiberin wird in Art. 14g AEFV verpflichtet, einen Streitbeilegungsdienst zu schaffen (Abs. 1), dessen Organisationsstruktur und Verfahrensvorschriften der Genehmigung des Bundesamtes bedürfen (Abs. 3); die Klage bei einem Zivilrichter bleibt vorbehalten (Abs. 4).</w:t>
      </w:r>
    </w:p>
    <w:p>
      <w:r>
        <w:rPr>
          <w:b/>
        </w:rPr>
        <w:t>E. 2.2</w:t>
      </w:r>
    </w:p>
    <w:p>
      <w:r>
        <w:t>Die Vorinstanz hat aus diesen Bestimmungen der AEFV zutreffend geschlossen, dass die Beziehungen der Registerbetreiberin mit den Nutzerinnen und Nutzern dem Privatrecht unterstehen. Die zivilrechtliche Natur des Rechtsverhältnisses ergibt sich (sinngemäss) insbesondere aus Art. 14b Abs. 5 AEFV , sind doch das LugÜ (Übereinkommen über die gerichtliche Zuständigkeit und die Vollstreckung gerichtlicher Entscheidungen in Zivil- und Handelssachen [SR 0.275.11]) und das IPRG (Bundesgesetz über das Internationale Privatrecht [SR 291]) auf privatrechtliche, nicht jedoch auf verwaltungsrechtliche Streitigkeiten anwendbar (vgl. Art. 1 LugÜ , Ingress; VOLKEN, Zürcher Kommentar zum IPRG, N. 21 vor Art. 2 IPRG ; BERTI, Basler Kommentar, N. 35 Vorbemerkungen zu Art. 2 IPRG ; VOLKEN, a.a.O., N. 18 zu Art. 2 IPRG ). BGE 131 II 162 S. 166 Die Bestimmung des anwendbaren Rechts und des Gerichtsstandes ist denn auch für privatrechtliche Verträge verbreitet, erscheint dagegen für Verwaltungssachen ausgeschlossen. Mit der entsprechenden Bestimmung wird daher die privatrechtliche Natur des Rechtsverhältnisses sinngemäss vorausgesetzt. Auch sind im Privatrechtsverkehr allgemeine Geschäftsbedingungen verbreitet (vgl. dazu KRAMER, Berner Kommentar, N. 271 zu Art. 19-20 OR sowie GAUCH/SCHLUEP/SCHMID, Schweizerisches Obligationenrecht, Allgemeiner Teil, 8. Aufl., N. 1116 mit Hinweisen auf die Literatur). In öffentlichrechtlichen, insbesondere durch Verfügung begründeten Rechtsbeziehungen ist dagegen mindestens der Begriff der allgemeinen Geschäftsbedingungen selbst dann nicht geläufig, wenn regelmässig eine Vielzahl von Verfügungen gleicher Art erlassen werden. Auch aus Art. 14c Abs. 1 AEFV ergibt sich insofern, dass der Bundesrat von einer privatrechtlichen Rechtsbeziehung der Registerbetreiberin zu den Nutzerinnen und Nutzern ausgeht. In der Lehre wird denn auch ohne Weiteres angenommen, dass die Beziehungen des Delegationärs bzw. der Registerbetreiberin zu den Kunden grundsätzlich dem Privatrecht unterstehen, weshalb gegen Zuteilungsentscheide mit Ausnahme der Aufsichtsbeschwerde kein verwaltungsrechtlicher Beschwerdeweg zur Verfügung steht (FISCHER/SIDLER, a.a.O., S. 212).</w:t>
      </w:r>
    </w:p>
    <w:p>
      <w:r>
        <w:rPr>
          <w:b/>
        </w:rPr>
        <w:t>E. 2.3</w:t>
      </w:r>
    </w:p>
    <w:p>
      <w:r>
        <w:t>Das Bundesgericht kann im Verwaltungsgerichtsbeschwerde-Verfahren Verordnungen des Bundesrates vorfrageweise auf ihre Gesetzes- und Verfassungsmässigkeit prüfen. Bei unselbstständigen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unselbstständigen Verordnung. Wird dem Bundesrat durch die gesetzliche Delegation ein sehr weiter Ermessensspielraum für die Regelung auf Verordnungsebene eingeräumt, so ist dieser Spielraum nach Art. 191 BV für das Bundesgericht verbindlich; das Gericht darf in diesem Fall bei der Prüfung der Verordnung nicht sein eigenes Ermessen an die Stelle desjenigen des Bundesrates setzen, sondern beschränkt sich auf die Prüfung, ob die Verordnung den Rahmen der dem Bundesrat im Gesetz delegierten Kompetenzen offensichtlich sprengt oder aus anderen Gründen gesetz- oder verfassungswidrig ist ( BGE 122 II 411 E. 3b; BGE 120 Ib 97 E. 3a BGE 131 II 162 S. 167 mit Hinweisen).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Massnahmen trägt demgegenüber der Bundesrat die Verantwortung ( BGE 129 II 160 E. 2.3; BGE 128 II 34 E. 3b, je mit Hinweisen).</w:t>
      </w:r>
    </w:p>
    <w:p>
      <w:r>
        <w:rPr>
          <w:b/>
        </w:rPr>
        <w:t>E. 2.4</w:t>
      </w:r>
    </w:p>
    <w:p>
      <w:r>
        <w:t>Art. 28 Abs. 2 FMG ermächtigt das Bundesamt zur Übertragung einzelner Adressierungselemente an Dritte und den Bundesrat zur Regelung der Einzelheiten. Die Beschwerdeführerin stellt grundsätzlich nicht in Frage, dass die Verwaltung und Zuteilung von Domain-Namen rechtmässig auf die Beschwerdegegnerin übertragen wurde. Sie hält jedoch dafür, Art. 28 FMG erkläre diese Dienstleistung ausdrücklich zur Verwaltungsaufgabe des Bundes und mit der Übertragung dieser Aufgabe an die Beschwerdegegnerin sei dieser auch die Kompetenz übertragen worden, die Zuteilung der Domain-Namen an Private mittels Verfügung vorzunehmen; die Beschwerdegegnerin wäre nach Ansicht der Beschwerdeführerin zur privatrechtlichen Gestaltung ihrer Beziehungen zu den Benutzern nur befugt, wenn dies im (formellen) Gesetz ausdrücklich so vorgesehen wäre. Sie verkennt damit, dass sich die Wahl der zulässigen Handlungsformen der Verwaltung auch sinngemäss aus dem Gesetz ergeben kann (vgl. BGE 128 III 39 E. 4b; MOOR, Droit administratif, Bd. II, 2. Aufl. 2002, S. 370 ff; HÄFELIN/MÜLLER, Allgemeines Verwaltungsrecht, 4. Aufl. 2002, S. 315 N. 1530, S. 59 N. 285 f). Das Verhältnis zu den Benutzern kann insbesondere dann, wenn nicht eigentlich hoheitliche, sondern gewerbliche Tätigkeiten in Frage stehen, durchaus privatrechtlich geregelt werden (TSCHANNEN/ZIMMERLI, a.a.O., S. 356). Die Zuteilung von Domain-Namen gehört zur Leistungsverwaltung, die keines Verwaltungszwangs bedarf. Sie wurde vor Erlass des geltenden FMG durch privatrechtlichen Vertrag geregelt, wie die Beschwerdeführerin selbst bemerkt. Das geltende FMG hat daran insoweit nichts geändert. Die Delegationsnorm wurde, wie aus dem Votum des Berichterstatters im Ständerat hervorgeht, erlassen, um bestehende, gut funktionierende Systeme wie beim Telex oder im Internet bei den Domain-Namen nicht wieder rückgängig zu machen und dem BAKOM übertragen zu müssen (AB BGE 131 II 162 S. 168 1997 S S. 95). Die Beschwerdeführerin behauptet das Gegenteil, vermag jedoch keine Gründe zu nennen, weshalb entgegen der Einschätzung des Gesetzgebers das historisch gewachsene System nicht mehr zu befriedigen vermocht habe. Der historische gesetzgeberische Wille war darauf gerichtet, das bestehende System der Adressierungselemente im Internet zu erhalten, das sich in privater Initiative weltweit entwickelt hatte (vgl. FISCHER/SIDLER, a.a.O., S. 212/216). Der Bundesrat hat den Rahmen der Ermächtigung gemäss Art. 28 Abs. 2 FMG nicht überschritten, wenn er bestimmte, dass die Registerbetreiberin den Nutzerinnen und Nutzern wie bis anhin die Domain-Namen durch privatrechtlichen Vertrag übertrage. Es sind auch keine Gründe ersichtlich, welche einer derartigen Regelung von Verfassungs wegen entgegen stehen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